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1199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«Ханты-Мансийское домостроительное предприятие»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Ширинкиной</w:t>
      </w:r>
      <w:r>
        <w:rPr>
          <w:rFonts w:ascii="Times New Roman" w:eastAsia="Times New Roman" w:hAnsi="Times New Roman" w:cs="Times New Roman"/>
          <w:b/>
          <w:bCs/>
        </w:rPr>
        <w:t xml:space="preserve"> Ирины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Ширинкина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«Ханты-Мансийское домостроительное предприятие»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2023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 п.2 и п.6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Ширинкина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Ширинкиной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30.07.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Ширинкиной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Ширинкиной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«Ханты-Мансийское домостроительное предприятие»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Ширинкину</w:t>
      </w:r>
      <w:r>
        <w:rPr>
          <w:rFonts w:ascii="Times New Roman" w:eastAsia="Times New Roman" w:hAnsi="Times New Roman" w:cs="Times New Roman"/>
          <w:b/>
          <w:bCs/>
        </w:rPr>
        <w:t xml:space="preserve"> Ирину Александровну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7970270000000020</w:t>
      </w:r>
      <w:r>
        <w:rPr>
          <w:rFonts w:ascii="Times New Roman" w:eastAsia="Times New Roman" w:hAnsi="Times New Roman" w:cs="Times New Roman"/>
        </w:rPr>
        <w:t>0742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9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